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E3040"/>
          <w:sz w:val="28"/>
          <w:szCs w:val="28"/>
        </w:rPr>
        <w:t xml:space="preserve">AI Deployment Qualification Handbook</w:t>
      </w:r>
    </w:p>
    <w:p>
      <w:pPr>
        <w:spacing w:after="200"/>
      </w:pPr>
      <w:r>
        <w:rPr>
          <w:b/>
          <w:bCs/>
          <w:color w:val="1E3040"/>
          <w:sz w:val="44"/>
          <w:szCs w:val="44"/>
        </w:rPr>
        <w:t xml:space="preserve">EDUCATION SECTOR COMPANION</w:t>
      </w:r>
    </w:p>
    <w:p>
      <w:pPr>
        <w:spacing w:after="140"/>
      </w:pPr>
      <w:r>
        <w:rPr>
          <w:b/>
          <w:bCs/>
          <w:i/>
          <w:iCs/>
          <w:color w:val="028090"/>
          <w:sz w:val="24"/>
          <w:szCs w:val="24"/>
        </w:rPr>
        <w:t xml:space="preserve">Multi-Academy Trusts: Trust Oversight, not AI Readiness.</w:t>
      </w:r>
    </w:p>
    <w:p>
      <w:pPr>
        <w:spacing w:after="140"/>
      </w:pPr>
      <w:r>
        <w:t xml:space="preserve">The Academy Trust Oversight Assessment answers whether a trust can evidence its AI governance position. It does not replace AQE's separate, per-system AI Readiness qualification.</w:t>
      </w:r>
    </w:p>
    <w:p>
      <w:pPr>
        <w:spacing w:after="140"/>
      </w:pPr>
      <w:r>
        <w:rPr>
          <w:b/>
          <w:bCs/>
        </w:rPr>
        <w:t xml:space="preserve">TRUST OVERSIGHT, EVIDENCED.</w:t>
      </w:r>
    </w:p>
    <w:p>
      <w:pPr>
        <w:spacing w:after="140"/>
      </w:pPr>
      <w:r>
        <w:rPr>
          <w:color w:val="5C6B72"/>
          <w:sz w:val="18"/>
          <w:szCs w:val="18"/>
        </w:rPr>
        <w:t xml:space="preserve">Version 1.0. September 2026. Companion to AI Deployment Qualification Handbook v1.0.3</w:t>
      </w:r>
    </w:p>
    <w:p>
      <w:pPr>
        <w:pStyle w:val="Heading1"/>
        <w:spacing w:after="150" w:before="300"/>
      </w:pPr>
      <w:r>
        <w:t xml:space="preserve">Why this companion exists</w:t>
      </w:r>
    </w:p>
    <w:p>
      <w:pPr>
        <w:spacing w:after="140"/>
      </w:pPr>
      <w:r>
        <w:t xml:space="preserve">The Handbook states that Legal, Recruitment and Public Sector one page scenarios would follow the same one page format "once a live product or partner conversation exists in those verticals." Education already has both: a live Academy Trust Oversight Assessment, built on the same fixed rule architecture as AQE and CLEARANCE, and an active regulatory trigger that did not exist when the core Handbook was written. This companion sets out that trigger, and where the Academy Trust Oversight Assessment sits against it.</w:t>
      </w:r>
    </w:p>
    <w:p>
      <w:pPr>
        <w:pStyle w:val="Heading1"/>
        <w:spacing w:after="150" w:before="300"/>
      </w:pPr>
      <w:r>
        <w:t xml:space="preserve">The trigger: what changed for trusts in 2026</w:t>
      </w:r>
    </w:p>
    <w:p>
      <w:pPr>
        <w:pStyle w:val="Heading2"/>
        <w:spacing w:after="120" w:before="250"/>
      </w:pPr>
      <w:r>
        <w:t xml:space="preserve">Keeping Children Safe in Education 2026</w:t>
      </w:r>
    </w:p>
    <w:p>
      <w:pPr>
        <w:spacing w:after="140"/>
      </w:pPr>
      <w:r>
        <w:t xml:space="preserve">In force from 1 September 2026. For the first time, generative AI is named within statutory safeguarding guidance, tied to filtering and monitoring expectations. This sits within statutory guidance that trusts must already comply with, rather than being a governance recommendation a trust may simply choose to adopt.</w:t>
      </w:r>
    </w:p>
    <w:p>
      <w:pPr>
        <w:pStyle w:val="Heading2"/>
        <w:spacing w:after="120" w:before="250"/>
      </w:pPr>
      <w:r>
        <w:t xml:space="preserve">The Academy Trust Handbook</w:t>
      </w:r>
    </w:p>
    <w:p>
      <w:pPr>
        <w:spacing w:after="140"/>
      </w:pPr>
      <w:r>
        <w:t xml:space="preserve">The current Handbook already expects trusts to operate a joined up system for identifying, owning, reviewing and reporting technology, safeguarding, cyber and data protection risk to trust leadership. A new edition, the Academy Trust Handbook 2026, takes effect from 1 October 2026; trusts sit in the transition between the two editions until then.</w:t>
      </w:r>
    </w:p>
    <w:p>
      <w:pPr>
        <w:pStyle w:val="Heading2"/>
        <w:spacing w:after="120" w:before="250"/>
      </w:pPr>
      <w:r>
        <w:t xml:space="preserve">DfE Generative AI Product Safety Standards (January 2026)</w:t>
      </w:r>
    </w:p>
    <w:p>
      <w:pPr>
        <w:spacing w:after="140"/>
      </w:pPr>
      <w:r>
        <w:t xml:space="preserve">Thirteen standards binding AI product vendors, not schools or trusts. They raise the bar for what a trust should expect from a supplier, but leave the trust's own oversight position for the trust to establish.</w:t>
      </w:r>
    </w:p>
    <w:p>
      <w:pPr>
        <w:pStyle w:val="Heading2"/>
        <w:spacing w:after="120" w:before="250"/>
      </w:pPr>
      <w:r>
        <w:t xml:space="preserve">The gap</w:t>
      </w:r>
    </w:p>
    <w:p>
      <w:pPr>
        <w:spacing w:after="140"/>
      </w:pPr>
      <w:r>
        <w:t xml:space="preserve">DfE provides guidance, standards and supporting resources for the safe use of AI in education. It does not provide a standardised trust level assessment that lets a trust demonstrate, through reproducible evidence, that its AI governance position is actually being followed.</w:t>
      </w:r>
    </w:p>
    <w:p>
      <w:pPr>
        <w:pStyle w:val="Heading1"/>
        <w:spacing w:after="150" w:before="300"/>
      </w:pPr>
      <w:r>
        <w:t xml:space="preserve">Where this sits in the discipline</w:t>
      </w:r>
    </w:p>
    <w:p>
      <w:pPr>
        <w:spacing w:after="140"/>
      </w:pPr>
      <w:r>
        <w:t xml:space="preserve">AI Deployment Qualification asks two questions at two different levels. AQE and CLEARANCE ask them of a single system: should this system be allowed into production, and did it operate as intended. The Academy Trust Oversight Assessment asks a related but distinct pair of questions of the trust as a whole: has the trust established a governed position on AI use, and can it evidence that position to someone outside the room.</w:t>
      </w:r>
    </w:p>
    <w:p>
      <w:pPr>
        <w:spacing w:after="140"/>
      </w:pPr>
      <w:r>
        <w:t xml:space="preserve">This is Trust Oversight, not AI Readiness. It uses the same architecture as the Charity Trustee Assessment already in the Handbook: a fixed rule set, applied to governance evidence the trust already holds, producing a status the trust's leadership can act on. It does not assess any individual classroom tool; that is what core AQE is for.</w:t>
      </w:r>
    </w:p>
    <w:p>
      <w:pPr>
        <w:pStyle w:val="Heading1"/>
        <w:spacing w:after="150" w:before="300"/>
      </w:pPr>
      <w:r>
        <w:t xml:space="preserve">What a policy document doesn't prove</w:t>
      </w:r>
    </w:p>
    <w:p>
      <w:pPr>
        <w:pStyle w:val="Heading2"/>
        <w:spacing w:after="120" w:before="250"/>
      </w:pPr>
      <w:r>
        <w:t xml:space="preserve">Policy versus evidence</w:t>
      </w:r>
    </w:p>
    <w:p>
      <w:pPr>
        <w:spacing w:after="140"/>
      </w:pPr>
      <w:r>
        <w:t xml:space="preserve">A policy tells you what a trust says its position is. Evidence shows what the trust can actually demonstrate. The Academy Trust Oversight Assessment turns the second question into a reproducible assessment, not just the first into a document.</w:t>
      </w:r>
    </w:p>
    <w:p>
      <w:pPr>
        <w:spacing w:after="140"/>
      </w:pPr>
      <w:r>
        <w:t xml:space="preserve">A written AI policy is necessary. Under KCSIE 2026, and under the Academy Trust Handbook once its 2026 edition takes effect, it is not sufficient on its own. The question quickly moves beyond whether a policy exists to whether the trust can evidence how its position is owned, implemented and reviewed: a named trustee or small named group with oversight, staff training records, filtering and monitoring provision that explicitly covers AI generated content and is reviewed at least once a year, and a position the board can point to and defend. A policy template answers the first question. Answering the second requires an assessment, run against fixed rules, that produces the same finding regardless of who runs it or when.</w:t>
      </w:r>
    </w:p>
    <w:p>
      <w:pPr>
        <w:pStyle w:val="Heading1"/>
        <w:spacing w:after="150" w:before="300"/>
      </w:pPr>
      <w:r>
        <w:t xml:space="preserve">Industry scenario: multi academy trust</w:t>
      </w:r>
    </w:p>
    <w:p>
      <w:pPr>
        <w:spacing w:after="140"/>
      </w:pPr>
      <w:r>
        <w:t xml:space="preserve">Problem. Staff across a 20 school multi academy trust have used generative AI tools for lesson planning and, in a small number of cases, safeguarding case notes, for over a year. The trust has no board level position on AI use. KCSIE 2026 has just come into force.</w:t>
      </w:r>
    </w:p>
    <w:p>
      <w:pPr>
        <w:spacing w:after="140"/>
      </w:pPr>
      <w:r>
        <w:t xml:space="preserve">Qualification failure. No named trustee or group is written down as responsible for AI oversight in the trust's governance record, only "the board" in general terms. No staff training evidence has been collected. The trust cannot confirm its filtering and monitoring provision explicitly covers AI generated content. Three governance and evidence gaps against the trust's current safeguarding and digital governance obligations, none of them visible until someone is asked to evidence them.</w:t>
      </w:r>
    </w:p>
    <w:p>
      <w:pPr>
        <w:spacing w:after="140"/>
      </w:pPr>
      <w:r>
        <w:t xml:space="preserve">How the methodology applies. The Academy Trust Oversight Assessment checks the trust's governance record against KCSIE 2026, the Academy Trust Handbook's governance and risk reporting expectations, and DfE generative AI guidance, using the same fixed check set architecture as the Charity Trustee Assessment.</w:t>
      </w:r>
    </w:p>
    <w:p>
      <w:pPr>
        <w:spacing w:after="140"/>
      </w:pPr>
      <w:r>
        <w:t xml:space="preserve">What the assessment would find. The free screener alone would return Oversight Required. The full paid assessment would confirm and itemise it: ownership unconfirmed, training evidence absent, filtering and monitoring coverage of AI content unconfirmed.</w:t>
      </w:r>
    </w:p>
    <w:p>
      <w:pPr>
        <w:spacing w:after="140"/>
      </w:pPr>
      <w:r>
        <w:t xml:space="preserve">What the evidence would show. A report the board could table at its next meeting: a documented position on AI oversight, the specific gaps against current statutory guidance, and what closing each of them requires. It gives a governance professional or clerk something to act on immediately, not a general policy statement to file away.</w:t>
      </w:r>
    </w:p>
    <w:p>
      <w:pPr>
        <w:pStyle w:val="Heading1"/>
        <w:spacing w:after="150" w:before="300"/>
      </w:pPr>
      <w:r>
        <w:t xml:space="preserve">Five minute trust self check</w:t>
      </w:r>
    </w:p>
    <w:p>
      <w:pPr>
        <w:spacing w:after="140"/>
      </w:pPr>
      <w:r>
        <w:t xml:space="preserve">Five questions a Company Secretary, Clerk or Governance Lead can answer today, without AQE or CLEARANCE, to see where a trust actually stands.</w:t>
      </w:r>
    </w:p>
    <w:p>
      <w:pPr>
        <w:pStyle w:val="ListParagraph"/>
        <w:numPr>
          <w:ilvl w:val="0"/>
          <w:numId w:val="1"/>
        </w:numPr>
        <w:spacing w:after="70"/>
      </w:pPr>
      <w:r>
        <w:t xml:space="preserve">Named owner. Is one specific trustee, or a small named group, written down as responsible for AI oversight, not just "the board"?</w:t>
      </w:r>
    </w:p>
    <w:p>
      <w:pPr>
        <w:pStyle w:val="ListParagraph"/>
        <w:numPr>
          <w:ilvl w:val="0"/>
          <w:numId w:val="1"/>
        </w:numPr>
        <w:spacing w:after="70"/>
      </w:pPr>
      <w:r>
        <w:t xml:space="preserve">Training evidence. Could you produce a record of staff AI training if a regulator or auditor asked for it tomorrow?</w:t>
      </w:r>
    </w:p>
    <w:p>
      <w:pPr>
        <w:pStyle w:val="ListParagraph"/>
        <w:numPr>
          <w:ilvl w:val="0"/>
          <w:numId w:val="1"/>
        </w:numPr>
        <w:spacing w:after="70"/>
      </w:pPr>
      <w:r>
        <w:t xml:space="preserve">Filtering and monitoring. Does your filtering and monitoring provision explicitly cover AI generated content, and is that reviewed at least once a year, as KCSIE 2026 now expects?</w:t>
      </w:r>
    </w:p>
    <w:p>
      <w:pPr>
        <w:pStyle w:val="ListParagraph"/>
        <w:numPr>
          <w:ilvl w:val="0"/>
          <w:numId w:val="1"/>
        </w:numPr>
        <w:spacing w:after="70"/>
      </w:pPr>
      <w:r>
        <w:t xml:space="preserve">Board reporting. Does the trust board or responsible committee receive a written report on AI use, at least once a year, as the Academy Trust Handbook requires?</w:t>
      </w:r>
    </w:p>
    <w:p>
      <w:pPr>
        <w:pStyle w:val="ListParagraph"/>
        <w:numPr>
          <w:ilvl w:val="0"/>
          <w:numId w:val="1"/>
        </w:numPr>
        <w:spacing w:after="70"/>
      </w:pPr>
      <w:r>
        <w:t xml:space="preserve">Evidence completeness. If asked tomorrow, could someone other than you reconstruct your trust's position on AI from the documents alone?</w:t>
      </w:r>
    </w:p>
    <w:p>
      <w:pPr>
        <w:spacing w:after="140"/>
      </w:pPr>
      <w:r>
        <w:t xml:space="preserve">A "no" or "not sure" anywhere above is not a failure. It is the gap the Academy Trust Oversight Assessment is built to close.</w:t>
      </w:r>
    </w:p>
    <w:p>
      <w:pPr>
        <w:pStyle w:val="Heading1"/>
        <w:spacing w:after="150" w:before="300"/>
      </w:pPr>
      <w:r>
        <w:t xml:space="preserve">Trust oversight, evidenced.</w:t>
      </w:r>
    </w:p>
    <w:p>
      <w:pPr>
        <w:spacing w:after="140"/>
      </w:pPr>
      <w:r>
        <w:t xml:space="preserve">Software testing became routine. Cybersecurity became routine. Trust level AI oversight is the next discipline moving from optional to expected, and KCSIE 2026 has already moved it there for education. The Academy Trust Oversight Assessment exists to answer it with evidence rather than assumption.</w:t>
      </w:r>
    </w:p>
    <w:p>
      <w:pPr>
        <w:spacing w:after="140"/>
      </w:pPr>
      <w:r>
        <w:rPr>
          <w:b/>
          <w:bCs/>
          <w:color w:val="028090"/>
        </w:rPr>
        <w:t xml:space="preserve">Academy Trust Oversight Assessment. AQE: aqediagnostic.com</w:t>
      </w:r>
    </w:p>
    <w:p>
      <w:pPr>
        <w:spacing w:after="140"/>
      </w:pPr>
      <w:r>
        <w:t xml:space="preserve">For governance consultancies, clerking services and trust advisory firms building an AI oversight offering of their own: this framework, and the assessment behind it, is available to talk through.</w:t>
      </w:r>
    </w:p>
    <w:p>
      <w:pPr>
        <w:spacing w:after="140"/>
      </w:pPr>
      <w:r>
        <w:rPr>
          <w:b/>
          <w:bCs/>
        </w:rPr>
        <w:t xml:space="preserve">TRUST OVERSIGHT, EVIDENCED.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2026-09-20T17:31:29.326Z</dcterms:created>
  <dcterms:modified xsi:type="dcterms:W3CDTF">2026-09-20T17:31:29.335Z</dcterms:modified>
</cp:coreProperties>
</file>

<file path=docProps/custom.xml><?xml version="1.0" encoding="utf-8"?>
<Properties xmlns="http://schemas.openxmlformats.org/officeDocument/2006/custom-properties" xmlns:vt="http://schemas.openxmlformats.org/officeDocument/2006/docPropsVTypes"/>
</file>